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07017E" w:rsidRPr="00083FA8" w:rsidTr="00582F31">
        <w:tc>
          <w:tcPr>
            <w:tcW w:w="9485" w:type="dxa"/>
          </w:tcPr>
          <w:p w:rsidR="0007017E" w:rsidRPr="00083FA8" w:rsidRDefault="0007017E" w:rsidP="00582F3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7017E" w:rsidRPr="00083FA8" w:rsidTr="00582F31">
        <w:tc>
          <w:tcPr>
            <w:tcW w:w="9485" w:type="dxa"/>
          </w:tcPr>
          <w:p w:rsidR="0007017E" w:rsidRPr="00083FA8" w:rsidRDefault="0007017E" w:rsidP="00582F3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07017E" w:rsidRPr="00083FA8" w:rsidRDefault="0007017E" w:rsidP="00582F3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:rsidR="0007017E" w:rsidRPr="00083FA8" w:rsidRDefault="0007017E" w:rsidP="00582F3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7017E" w:rsidRPr="00083FA8" w:rsidTr="00582F31">
        <w:tc>
          <w:tcPr>
            <w:tcW w:w="9485" w:type="dxa"/>
          </w:tcPr>
          <w:p w:rsidR="0007017E" w:rsidRPr="00083FA8" w:rsidRDefault="0007017E" w:rsidP="00582F3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7017E" w:rsidRPr="00083FA8" w:rsidTr="00582F31">
        <w:tc>
          <w:tcPr>
            <w:tcW w:w="9485" w:type="dxa"/>
          </w:tcPr>
          <w:p w:rsidR="0007017E" w:rsidRPr="00083FA8" w:rsidRDefault="0007017E" w:rsidP="00582F3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582F31">
        <w:tc>
          <w:tcPr>
            <w:tcW w:w="9485" w:type="dxa"/>
          </w:tcPr>
          <w:p w:rsidR="0007017E" w:rsidRPr="00083FA8" w:rsidRDefault="0007017E" w:rsidP="00083FA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07017E" w:rsidRPr="00083FA8" w:rsidTr="00582F31">
        <w:tc>
          <w:tcPr>
            <w:tcW w:w="9485" w:type="dxa"/>
          </w:tcPr>
          <w:p w:rsidR="0007017E" w:rsidRPr="00083FA8" w:rsidRDefault="0007017E" w:rsidP="00582F3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582F31">
        <w:tc>
          <w:tcPr>
            <w:tcW w:w="9485" w:type="dxa"/>
          </w:tcPr>
          <w:p w:rsidR="0007017E" w:rsidRPr="00083FA8" w:rsidRDefault="0007017E" w:rsidP="00582F3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582F31">
        <w:tc>
          <w:tcPr>
            <w:tcW w:w="9485" w:type="dxa"/>
          </w:tcPr>
          <w:p w:rsidR="0007017E" w:rsidRPr="00083FA8" w:rsidRDefault="0007017E" w:rsidP="00582F31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D112EC">
              <w:rPr>
                <w:rFonts w:ascii="Times New Roman" w:hAnsi="Times New Roman"/>
                <w:b/>
                <w:spacing w:val="20"/>
                <w:sz w:val="28"/>
              </w:rPr>
              <w:t>24</w:t>
            </w: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»</w:t>
            </w:r>
            <w:r w:rsidR="00D112EC">
              <w:rPr>
                <w:rFonts w:ascii="Times New Roman" w:hAnsi="Times New Roman"/>
                <w:b/>
                <w:spacing w:val="20"/>
                <w:sz w:val="28"/>
              </w:rPr>
              <w:t xml:space="preserve"> августа </w:t>
            </w: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2015 г</w:t>
            </w:r>
            <w:r w:rsidRPr="00083FA8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</w:t>
            </w:r>
            <w:r w:rsidR="00E15E23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Pr="00083FA8">
              <w:rPr>
                <w:rFonts w:ascii="Times New Roman" w:hAnsi="Times New Roman"/>
                <w:spacing w:val="20"/>
                <w:sz w:val="28"/>
              </w:rPr>
              <w:t xml:space="preserve">   № </w:t>
            </w:r>
            <w:r w:rsidR="00D112EC">
              <w:rPr>
                <w:rFonts w:ascii="Times New Roman" w:hAnsi="Times New Roman"/>
                <w:spacing w:val="20"/>
                <w:sz w:val="28"/>
              </w:rPr>
              <w:t>95-ПГ</w:t>
            </w:r>
          </w:p>
          <w:p w:rsidR="0007017E" w:rsidRPr="00083FA8" w:rsidRDefault="0007017E" w:rsidP="00582F31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7017E" w:rsidRPr="00083FA8" w:rsidTr="00582F31">
        <w:tc>
          <w:tcPr>
            <w:tcW w:w="9485" w:type="dxa"/>
          </w:tcPr>
          <w:p w:rsidR="0007017E" w:rsidRPr="00083FA8" w:rsidRDefault="0007017E" w:rsidP="00582F3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</w:tbl>
    <w:p w:rsidR="0007017E" w:rsidRPr="00083FA8" w:rsidRDefault="0007017E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  порядке подготовки и утверждения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местных нормативов градостроительного</w:t>
      </w:r>
    </w:p>
    <w:p w:rsidR="002001DE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проектирования</w:t>
      </w:r>
      <w:r w:rsidR="0020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Тулунского муниципального</w:t>
      </w:r>
    </w:p>
    <w:p w:rsidR="000D6D13" w:rsidRPr="00083FA8" w:rsidRDefault="002001DE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внесения в них изменений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17E" w:rsidRDefault="000D6D13" w:rsidP="005803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017E" w:rsidRPr="00083FA8">
        <w:rPr>
          <w:rFonts w:ascii="Times New Roman" w:hAnsi="Times New Roman" w:cs="Times New Roman"/>
          <w:sz w:val="28"/>
          <w:szCs w:val="28"/>
        </w:rPr>
        <w:t>Руководствуясь</w:t>
      </w:r>
      <w:r w:rsidR="0058038E" w:rsidRPr="00083FA8">
        <w:rPr>
          <w:rFonts w:ascii="Times New Roman" w:hAnsi="Times New Roman" w:cs="Times New Roman"/>
          <w:sz w:val="28"/>
          <w:szCs w:val="28"/>
        </w:rPr>
        <w:t xml:space="preserve"> </w:t>
      </w:r>
      <w:r w:rsidR="002001DE">
        <w:rPr>
          <w:rFonts w:ascii="Times New Roman" w:hAnsi="Times New Roman" w:cs="Times New Roman"/>
          <w:sz w:val="28"/>
          <w:szCs w:val="28"/>
        </w:rPr>
        <w:t>ч.1.</w:t>
      </w:r>
      <w:r w:rsidR="0007017E" w:rsidRPr="00083FA8">
        <w:rPr>
          <w:rFonts w:ascii="Times New Roman" w:hAnsi="Times New Roman" w:cs="Times New Roman"/>
          <w:sz w:val="28"/>
          <w:szCs w:val="28"/>
        </w:rPr>
        <w:t>ст.29.4</w:t>
      </w:r>
      <w:r w:rsidR="0058038E" w:rsidRPr="00083FA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2001DE">
        <w:rPr>
          <w:rFonts w:ascii="Times New Roman" w:hAnsi="Times New Roman" w:cs="Times New Roman"/>
          <w:sz w:val="28"/>
          <w:szCs w:val="28"/>
        </w:rPr>
        <w:t xml:space="preserve">ст.36  </w:t>
      </w:r>
      <w:r w:rsidR="0058038E" w:rsidRPr="00083FA8">
        <w:rPr>
          <w:rFonts w:ascii="Times New Roman" w:hAnsi="Times New Roman" w:cs="Times New Roman"/>
          <w:sz w:val="28"/>
          <w:szCs w:val="28"/>
        </w:rPr>
        <w:t>Устав</w:t>
      </w:r>
      <w:r w:rsidR="002001DE">
        <w:rPr>
          <w:rFonts w:ascii="Times New Roman" w:hAnsi="Times New Roman" w:cs="Times New Roman"/>
          <w:sz w:val="28"/>
          <w:szCs w:val="28"/>
        </w:rPr>
        <w:t>а</w:t>
      </w:r>
      <w:r w:rsidR="0058038E" w:rsidRPr="00083F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001DE">
        <w:rPr>
          <w:rFonts w:ascii="Times New Roman" w:hAnsi="Times New Roman" w:cs="Times New Roman"/>
          <w:sz w:val="28"/>
          <w:szCs w:val="28"/>
        </w:rPr>
        <w:t>образования</w:t>
      </w:r>
      <w:r w:rsidR="0058038E" w:rsidRPr="00083FA8">
        <w:rPr>
          <w:rFonts w:ascii="Times New Roman" w:hAnsi="Times New Roman" w:cs="Times New Roman"/>
          <w:sz w:val="28"/>
          <w:szCs w:val="28"/>
        </w:rPr>
        <w:t xml:space="preserve"> </w:t>
      </w:r>
      <w:r w:rsidR="002001DE">
        <w:rPr>
          <w:rFonts w:ascii="Times New Roman" w:hAnsi="Times New Roman" w:cs="Times New Roman"/>
          <w:sz w:val="28"/>
          <w:szCs w:val="28"/>
        </w:rPr>
        <w:t>"Тулунский район"</w:t>
      </w:r>
      <w:r w:rsidR="00E15E23">
        <w:rPr>
          <w:rFonts w:ascii="Times New Roman" w:hAnsi="Times New Roman" w:cs="Times New Roman"/>
          <w:sz w:val="28"/>
          <w:szCs w:val="28"/>
        </w:rPr>
        <w:t>,</w:t>
      </w:r>
    </w:p>
    <w:p w:rsidR="00E15E23" w:rsidRPr="00083FA8" w:rsidRDefault="00E15E23" w:rsidP="005803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3" w:rsidRPr="00083FA8" w:rsidRDefault="000D6D13" w:rsidP="00BB30E0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2001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D13" w:rsidRPr="00083FA8" w:rsidRDefault="000D6D13" w:rsidP="00BB30E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 Утвердить  Порядок  подготовки и  утверждения местных нормативов градостроительного проектирования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внесения в них изменений</w:t>
      </w:r>
      <w:r w:rsidR="0007017E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  1 к настоящему постановлению.</w:t>
      </w:r>
    </w:p>
    <w:p w:rsidR="000D6D13" w:rsidRPr="00083FA8" w:rsidRDefault="000D6D13" w:rsidP="00BB30E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Утвердить  перечень видов объектов местного значения, для которых при разработке местных нормативов градостроительного проектирования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устанавливаются расчетные показатели минимально допустимого уровня обеспеченности  и максимально допустимого уровня территориальной доступности таких объектов для населения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7017E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2 к настоящему постановлению.</w:t>
      </w:r>
    </w:p>
    <w:p w:rsidR="000D6D13" w:rsidRPr="00083FA8" w:rsidRDefault="000D6D13" w:rsidP="00BB30E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данное постановление в </w:t>
      </w:r>
      <w:r w:rsidR="0020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бюллетене "Вестник Тулунского района"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D6D13" w:rsidRPr="00083FA8" w:rsidRDefault="0007017E" w:rsidP="00BB30E0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  заместителя </w:t>
      </w:r>
      <w:r w:rsidR="000844F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мэра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 </w:t>
      </w:r>
      <w:r w:rsidR="000844F2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Клусс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7E4" w:rsidRPr="00083FA8" w:rsidRDefault="003C57E4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17E" w:rsidRPr="00083FA8" w:rsidRDefault="0007017E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E4" w:rsidRPr="00083FA8" w:rsidRDefault="003C57E4" w:rsidP="00753FE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Тулунского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D13" w:rsidRPr="00083FA8" w:rsidRDefault="000D6D13" w:rsidP="00753FE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 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53FEE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Гильдебрант</w:t>
      </w:r>
    </w:p>
    <w:p w:rsidR="000D6D13" w:rsidRDefault="000D6D13" w:rsidP="00753FE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30E0" w:rsidRDefault="00BB30E0" w:rsidP="00753FE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E0" w:rsidRPr="00083FA8" w:rsidRDefault="00BB30E0" w:rsidP="00753FE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D13" w:rsidRPr="00083FA8" w:rsidRDefault="000D6D13" w:rsidP="003C57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D6D13" w:rsidRPr="00083FA8" w:rsidRDefault="000D6D13" w:rsidP="003C57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D6D13" w:rsidRPr="00083FA8" w:rsidRDefault="000D6D13" w:rsidP="003C57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D6D13" w:rsidRPr="00083FA8" w:rsidRDefault="000D6D13" w:rsidP="003C57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C57E4"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</w:p>
    <w:p w:rsidR="000D6D13" w:rsidRPr="00083FA8" w:rsidRDefault="000D6D13" w:rsidP="003C57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</w:t>
      </w:r>
    </w:p>
    <w:p w:rsidR="000D6D13" w:rsidRPr="00083FA8" w:rsidRDefault="000D6D13" w:rsidP="003C57E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 </w:t>
      </w:r>
      <w:r w:rsidR="00D112EC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</w:t>
      </w: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C57E4"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1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1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95-ПГ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D13" w:rsidRPr="00083FA8" w:rsidRDefault="000D6D13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D6D13" w:rsidRPr="00083FA8" w:rsidRDefault="000D6D13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утверждения местных нормативов градостроительного проектирования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внесения в них изменений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D13" w:rsidRPr="00083FA8" w:rsidRDefault="000D6D13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Настоящий порядок о местных нормативах градостроительного проектирования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Порядок) определяет порядок подготовки и утверждения местных нормативов градостроительного проектирования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внесения в них изменений (далее – местные нормативы).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Местные нормативы градостроительного проектирования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устанавливают совокупность расчетных показателей минимально допустимого уровня обеспеченности объектами местного значения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 и расчетных показателей максимально допустимого уровня территориальной доступности таких объектов для населения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Местные нормативы обязательны для использования, применения и соблюдения органами местного самоуправления, а так же всеми гражданами и юридическими лицами, осуществляющими градостроительную деятельность на территории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при: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разработке, согласовании, утверждении и реализации документов территориального планирования и градостроительного зонирования;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разработке, согласовании, утверждении и реализации документации по планировке территорий;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-заключении договоров о развитии застроенной территории;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Контроль соблюдения местных нормативов осуществляют полномочные государственные органы контроля и надзора, структурные подразделения администрации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пределах своей компетенции.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случае, если в нормативах градостроительного проектирования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района, расчетные показатели минимального допустимого уровня обеспеченности такими объектами населения 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устанавливаемыми местными нормативами не могут быть ниже этих предельных значений.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В случае, если в региональных нормативах градостроительного проектирования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установлены предельные значения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расчетных показателей максимально допустимого уровня территориальной доступности  таких объектов для населения муниципального района, расчетные показатели максимально допустимого уровня территориальной доступности таких  объектов для  населения 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устанавливаемые местными нормативами не могут быть ниже этих предельных значений.</w:t>
      </w:r>
    </w:p>
    <w:p w:rsidR="000D6D13" w:rsidRPr="00083FA8" w:rsidRDefault="00C17CC7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региональных нормативов ранее утвержденные местные нормативы, не отвечающие указанному условию в п.1.5-1.6 настоящего порядка, подлежат внесению изменений в них.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Отсутствие местных нормативов не является препятствием для утверждения схемы территориального планирования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 же проектов планировки территории.</w:t>
      </w:r>
    </w:p>
    <w:p w:rsidR="000D6D13" w:rsidRPr="00083FA8" w:rsidRDefault="00C718CC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 Перечень объектов местного значения, для которых при разработке местных нормативов устанавливаются расчетные показатели минимально допустимого уровня обеспеченности и максимально допустимого уровня территориальной доступности, утверждается постановлением администрации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D6D13" w:rsidRPr="00083FA8" w:rsidRDefault="000D6D13" w:rsidP="003C57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 подготовки, утверждения местных нормативов градостроительного проектирования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внесения в них изменений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Местные нормативы градостроительного проектирования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разрабатываются и утверждаются в соответствии с Градостроительным кодексом Российской Федерации и требованиями, предусмотренными настоящим порядком.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Решение о подготовке проекта местных нормативов градостроительного проектирования принимается постановлением администрации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 Организацию работ по разработке и утверждению проекта местных нормативов осуществляет </w:t>
      </w:r>
      <w:r w:rsidR="003C57E4" w:rsidRPr="00083FA8">
        <w:rPr>
          <w:rFonts w:ascii="Times New Roman" w:hAnsi="Times New Roman" w:cs="Times New Roman"/>
          <w:sz w:val="28"/>
          <w:szCs w:val="28"/>
        </w:rPr>
        <w:t>отдел архитектуры строительства и  градостроительной деятельности  Комитета   по архитектуре, строительству и ЖКХ администрации Тулунского муниципального района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8CC" w:rsidRPr="00083FA8" w:rsidRDefault="00C718CC" w:rsidP="00C718CC">
      <w:pPr>
        <w:tabs>
          <w:tab w:val="left" w:pos="14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19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подготовки  местных нормативов градостроительного проектирования осуществляется за счет средств местного бюджета в поряд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ке,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Российской Федерации.</w:t>
      </w:r>
    </w:p>
    <w:p w:rsidR="000D6D13" w:rsidRPr="00083FA8" w:rsidRDefault="000D6D13" w:rsidP="00C718CC">
      <w:pPr>
        <w:tabs>
          <w:tab w:val="left" w:pos="14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19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Подготовленный проект местных нормативов подлежит согласованию с государственным органом исполнительной власти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уполномоченным в сфере градостроительной деятельности, на предмет соответствия значений расчетных показателей обеспечения благоприятных условий жизнедеятельности человека, установленным показателям  в региональных нормативах градостроительного проектирования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области.</w:t>
      </w:r>
    </w:p>
    <w:p w:rsidR="000D6D13" w:rsidRPr="00083FA8" w:rsidRDefault="007559A7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19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местных нормативов размещается на официальном сайте  администрации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и подлежит опубликованию в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установленном для официального опубликования муниципальных правовых актов не менее чем за два месяца до их утверждения.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19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Местные нормативы и внесенные в них изменения утверждаются </w:t>
      </w:r>
      <w:r w:rsidR="001652E9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19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2E9" w:rsidRPr="00083FA8">
        <w:rPr>
          <w:rFonts w:ascii="Times New Roman" w:hAnsi="Times New Roman" w:cs="Times New Roman"/>
          <w:sz w:val="28"/>
          <w:szCs w:val="28"/>
        </w:rPr>
        <w:t>Отдел архитектуры  строительства и  градостроительной деятельности  Комитета   по архитектуре, строительству и ЖКХ администрации Тулунского муниципального района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размещает утвержденные местные нормативы в федеральной государственной информационной системе территориального планирования и информационной системе градостроительной деятельности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срок, не превышающий  пяти дней со дня утверждения указанных нормативов.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19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государственной власти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органы местного самоуправления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заинтересованные физические и юридические лица вправе обращаться к </w:t>
      </w:r>
      <w:r w:rsidR="001652E9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мэру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предложением о внесении изменений в местные нормативы.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319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2E9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течении тридцати дней со дня получения предложений о внесении изменений в местные нормативы направляет субъекту, внесшему данные предложения, информацию о принятом решении, в которой оговариваются сроки возможной подготовки проекта о внесении изменений в местные нормативы, условия финансирования работ, предложения о совместной подготовке и совместном финансировании, другие вопросы организации работ либо представляет мотивированный отказ, который может быть обжалован в соответствии с действующим законодательством Российской Федерации.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319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местные нормативы осуществляется в порядке, определенном настоящим постановлением.</w:t>
      </w:r>
    </w:p>
    <w:p w:rsidR="000D6D13" w:rsidRPr="00083FA8" w:rsidRDefault="000D6D13" w:rsidP="001652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Заключительные положения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3.1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регламентам.</w:t>
      </w:r>
    </w:p>
    <w:p w:rsidR="000D6D13" w:rsidRPr="00083FA8" w:rsidRDefault="00C17CC7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регламентировать местными нормат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ивами положения о безопасности,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определяемые законодательством о техническом регулировании и содержащиеся в технических регламентах.</w:t>
      </w:r>
    </w:p>
    <w:p w:rsidR="000D6D13" w:rsidRPr="00083FA8" w:rsidRDefault="00C17CC7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3.3  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местных нормативов юридические, должностные лица и граждане несут ответственность в соответствии с законодательством Российской Федерации 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C17CC7" w:rsidRPr="00083FA8" w:rsidRDefault="00C17CC7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CC7" w:rsidRPr="00083FA8" w:rsidRDefault="00C17CC7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E9" w:rsidRPr="00083FA8" w:rsidRDefault="001652E9" w:rsidP="000D6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hAnsi="Times New Roman" w:cs="Times New Roman"/>
          <w:sz w:val="28"/>
          <w:szCs w:val="28"/>
        </w:rPr>
        <w:t xml:space="preserve"> Заведующий отделом архитектуры  строительства и</w:t>
      </w:r>
    </w:p>
    <w:p w:rsidR="001652E9" w:rsidRPr="00083FA8" w:rsidRDefault="001652E9" w:rsidP="000D6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hAnsi="Times New Roman" w:cs="Times New Roman"/>
          <w:sz w:val="28"/>
          <w:szCs w:val="28"/>
        </w:rPr>
        <w:t xml:space="preserve">  градостроительной деятельности  Комитета   по архитектуре,</w:t>
      </w:r>
    </w:p>
    <w:p w:rsidR="001652E9" w:rsidRPr="00083FA8" w:rsidRDefault="001652E9" w:rsidP="000D6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hAnsi="Times New Roman" w:cs="Times New Roman"/>
          <w:sz w:val="28"/>
          <w:szCs w:val="28"/>
        </w:rPr>
        <w:t xml:space="preserve"> строительству и ЖКХ администрации Тулунского муниципального</w:t>
      </w:r>
    </w:p>
    <w:p w:rsidR="000D6D13" w:rsidRPr="00083FA8" w:rsidRDefault="001652E9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С.А. Сыроваткина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D13" w:rsidRPr="00083FA8" w:rsidRDefault="000D6D13" w:rsidP="00C17C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D6D13" w:rsidRPr="00083FA8" w:rsidRDefault="000D6D13" w:rsidP="00C17C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D6D13" w:rsidRPr="00083FA8" w:rsidRDefault="000D6D13" w:rsidP="00C17C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C57E4"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</w:p>
    <w:p w:rsidR="000D6D13" w:rsidRPr="00083FA8" w:rsidRDefault="000D6D13" w:rsidP="00C17C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</w:t>
      </w:r>
    </w:p>
    <w:p w:rsidR="000D6D13" w:rsidRPr="00083FA8" w:rsidRDefault="000D6D13" w:rsidP="00C17CC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</w:t>
      </w:r>
      <w:r w:rsidR="00D112EC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</w:t>
      </w: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53FEE"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</w:t>
      </w:r>
      <w:r w:rsidR="00D1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95-ПГ</w:t>
      </w:r>
    </w:p>
    <w:p w:rsidR="000D6D13" w:rsidRPr="00083FA8" w:rsidRDefault="000D6D13" w:rsidP="000D6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D13" w:rsidRPr="00083FA8" w:rsidRDefault="000D6D13" w:rsidP="006F4B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D6D13" w:rsidRPr="00083FA8" w:rsidRDefault="000D6D13" w:rsidP="00C17C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объектов местного значения, для которых при разработке местных нормативов градостроительного проектирования  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устанавливаются расчетные показатели  минимально допустимого уровня обеспеченности  и максимально допустимого уровня территориальной доступности таких объектов для населения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0D6D13" w:rsidRPr="006F4B63" w:rsidRDefault="000D6D13" w:rsidP="006F4B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4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местного значения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 полномочий по вопросам местного значения и в пределах переданных государственн</w:t>
      </w:r>
      <w:r w:rsidR="006F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полномочий в соответствии с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постановлениями  Правительства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  оказывают  существенное влияние на социально-экономическое развитие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объектами местного значения, оказывающими существенное влияние на социально-экономическое развитие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="006F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понимаются объекты, территории, имеющие природно-историческое, историко-культурное, социальное, экономическое значение или оказывающие существенное влияние на инженерное, транспортное, социальное, культурное обеспечение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Виды объектов местного значения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видам объектов местного значения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относятся:</w:t>
      </w:r>
    </w:p>
    <w:p w:rsidR="000D6D13" w:rsidRPr="00083FA8" w:rsidRDefault="006F4B6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A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  </w:t>
      </w:r>
      <w:proofErr w:type="spellStart"/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газоснабжения: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</w:t>
      </w:r>
      <w:proofErr w:type="spellStart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газоснабжения в границах муниципального района;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дорожной деятельности в отношении автомобильных дорог местного значения вне границ населенных пунктов в границах муниципального района;</w:t>
      </w:r>
    </w:p>
    <w:p w:rsidR="006F4B63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автомобильные дороги местного значения вне границ населенных пунктов в границах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конструктивными элементами и дорожными сооружениями, являющимися технологической частью автомобильных дорог;</w:t>
      </w:r>
    </w:p>
    <w:p w:rsidR="000D6D13" w:rsidRPr="00083FA8" w:rsidRDefault="006F4B6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полосы отвода автомобильных дорог местного значения вне границ населенных пунктов в границах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придорожные полосы автомобильных дорог местного значения вне границ населенных пунктов в границах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D6D13" w:rsidRPr="00083FA8" w:rsidRDefault="006F4B6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1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образования (муниципальные объекты общедоступного и бесплатного образования (дошкольного, начального общего, основного общего, среднего  общего образования), а также объекты дополнительного образования:</w:t>
      </w:r>
    </w:p>
    <w:p w:rsidR="001926AC" w:rsidRDefault="006F4B6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дошкольного образования (детские сады);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 (общеобразовательные школы, гимназии, лицеи);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(коррекционные) общеобразовательные организации (специальные (коррекционные) начальные школы – детские сады, специальные (коррекционные) общеобразовательные школы, специальные (коррекционные) общеобразовательные школы-интернаты);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организации дополнительного образования (центры дополнительного образования детей, дома детского творчества, станции юных натуралистов, детские школы искусств, детско-юношеские спортивные школы);</w:t>
      </w:r>
    </w:p>
    <w:p w:rsidR="000D6D13" w:rsidRPr="00083FA8" w:rsidRDefault="001926AC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для детей дошкольного и младшего школьного возрасти (начальные школы – детские сады, прогимназии);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области здравоохранения:</w:t>
      </w:r>
    </w:p>
    <w:p w:rsidR="000D6D13" w:rsidRPr="00083FA8" w:rsidRDefault="001926AC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амбулаторно-поликлинические учреждения (поликлиники, амбулатории, </w:t>
      </w:r>
      <w:r w:rsidR="006415A6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фельдшерско-акушерские пункты, 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поликлиники);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учреждений охраны материнства и детства (родильные дома, женские консультации, центры планирования семьи);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больничные учреждения районного значения;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объекты учреждений скорой медицинской помощи;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санаторно-курортных учреждений (санатории, санатории-профилактории, санаторные оздоровительные лагеря);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области физической культуры и массового спорта:</w:t>
      </w:r>
    </w:p>
    <w:p w:rsidR="000D6D13" w:rsidRPr="00083FA8" w:rsidRDefault="006F4B6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спорта, отвечающие требованиям проведения официальных физкультурно-оздоровительных и спортивных мероприятий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D6D13" w:rsidRPr="00083FA8" w:rsidRDefault="006415A6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спорта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предназначенные для проведения учебно-тренировочного процесса сборных команд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спорта, предназначенные для подготовки спортивного резерва для спортивных сборных команд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объекты физической культуры и спорта;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области утилизации и переработки бытовых и промышленных отходов:</w:t>
      </w:r>
    </w:p>
    <w:p w:rsidR="000D6D13" w:rsidRPr="00083FA8" w:rsidRDefault="00753FEE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утилизации и переработки бытовых и промышленных отходов (мусороперерабатывающие, </w:t>
      </w:r>
      <w:proofErr w:type="spellStart"/>
      <w:r w:rsidR="000D6D13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росжигающие</w:t>
      </w:r>
      <w:proofErr w:type="spellEnd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и заводы), или </w:t>
      </w:r>
      <w:r w:rsidR="006415A6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полигоны твердых бытовых отходов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иных областях в связи с решением вопросов местного значения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объекты, обеспечивающие осуществление деятельности органов местного </w:t>
      </w:r>
      <w:r w:rsidR="006F4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объекты, предназначенные для предупреждения и ликвидации последствий чрезвычайных ситуаций на территории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объекты, предназначенные для организации защиты населения и территории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чрезвычайных ситуаций природного и техногенного характера (дамбы, объекты пожарной охраны и пожарные депо, муниципальные спасательные центры и станции, не отнесенные к объектам регионального значения); - объекты связи, находящиеся в собственности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их охранные зоны;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библиотечного обслуживания населения 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архивного дела (муниципальные архивы);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организации досуга, культуры (дома народного творчества, культурно-досуговые центры, методические центры, муниципальные музеи, кинотеатры);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объектов культурного наследия местного значения и их зоны охраны;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оптовой и розничной торговли, в том числе рынки;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особо-охраняемые</w:t>
      </w:r>
      <w:proofErr w:type="spellEnd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территории местного значения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сельского хозяйства местного значения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(здания и сооружения для разведения крупного рогатого скота, свиней, овец, птицы, строения и сооружения для машин механизации производственных процессов, здания и сооружения для хранения, обработки и переработки продуктов, силосные и сенажные сооружения, картофеле – и овощехранилища, зерносклады, элеваторы, зерносушилки, склады минеральных удобрений и химических средств защиты растений, кормоприготовительные цехи и комбикормовые предприятия, культивационные сооружения (теплицы), здания для ремонта и хранения сельскохозяйственных машин (ремонтные предприятия);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по оказанию услуг молодежи (молодежные центры, подростково-молодежные клубы, центры гражданского и патриотического воспитания, дворцы молодежи);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объекты, необходимые для предоставления транспортных услуг населению;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-иные объекты, территории, имеющие природно-историческое, историко-культурное, социальное, экономическое значение для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 оказывающие существенное влияние на инженерное, транспортное, социальное, культурное обеспечение </w:t>
      </w:r>
      <w:r w:rsidR="003C57E4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D6D13" w:rsidRPr="00083FA8" w:rsidRDefault="000D6D13" w:rsidP="006F4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15A6" w:rsidRPr="00083FA8" w:rsidRDefault="006415A6" w:rsidP="006F4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hAnsi="Times New Roman" w:cs="Times New Roman"/>
          <w:sz w:val="28"/>
          <w:szCs w:val="28"/>
        </w:rPr>
        <w:t>Заведующий отделом архитектуры  строительства и</w:t>
      </w:r>
    </w:p>
    <w:p w:rsidR="006415A6" w:rsidRPr="00083FA8" w:rsidRDefault="006415A6" w:rsidP="006F4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 Комитета   по архитектуре,</w:t>
      </w:r>
    </w:p>
    <w:p w:rsidR="006415A6" w:rsidRPr="00083FA8" w:rsidRDefault="006415A6" w:rsidP="006F4B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hAnsi="Times New Roman" w:cs="Times New Roman"/>
          <w:sz w:val="28"/>
          <w:szCs w:val="28"/>
        </w:rPr>
        <w:t xml:space="preserve"> строительству и ЖКХ администрации Тулунского муниципального</w:t>
      </w:r>
    </w:p>
    <w:p w:rsidR="006415A6" w:rsidRPr="00083FA8" w:rsidRDefault="006415A6" w:rsidP="006F4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Тулунского муниципального района </w:t>
      </w:r>
      <w:r w:rsidR="006F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Сыроваткина</w:t>
      </w:r>
    </w:p>
    <w:p w:rsidR="0011325B" w:rsidRPr="00083FA8" w:rsidRDefault="0011325B" w:rsidP="006F4B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1325B" w:rsidRPr="00083FA8" w:rsidSect="00083FA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D6D13"/>
    <w:rsid w:val="00031450"/>
    <w:rsid w:val="0007017E"/>
    <w:rsid w:val="00083FA8"/>
    <w:rsid w:val="000844F2"/>
    <w:rsid w:val="000D6D13"/>
    <w:rsid w:val="0011325B"/>
    <w:rsid w:val="001652E9"/>
    <w:rsid w:val="001926AC"/>
    <w:rsid w:val="001F5194"/>
    <w:rsid w:val="002001DE"/>
    <w:rsid w:val="003062A5"/>
    <w:rsid w:val="003C57E4"/>
    <w:rsid w:val="00476AE3"/>
    <w:rsid w:val="005319AE"/>
    <w:rsid w:val="0058038E"/>
    <w:rsid w:val="006415A6"/>
    <w:rsid w:val="0068645D"/>
    <w:rsid w:val="006C32DD"/>
    <w:rsid w:val="006F4B63"/>
    <w:rsid w:val="00753FEE"/>
    <w:rsid w:val="007559A7"/>
    <w:rsid w:val="00A8633B"/>
    <w:rsid w:val="00BB30E0"/>
    <w:rsid w:val="00BF7549"/>
    <w:rsid w:val="00C14AE3"/>
    <w:rsid w:val="00C17CC7"/>
    <w:rsid w:val="00C718CC"/>
    <w:rsid w:val="00D112EC"/>
    <w:rsid w:val="00E15E23"/>
    <w:rsid w:val="00EB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701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Сыроваткина</cp:lastModifiedBy>
  <cp:revision>16</cp:revision>
  <cp:lastPrinted>2011-08-15T23:10:00Z</cp:lastPrinted>
  <dcterms:created xsi:type="dcterms:W3CDTF">2015-06-25T11:28:00Z</dcterms:created>
  <dcterms:modified xsi:type="dcterms:W3CDTF">2015-08-31T06:43:00Z</dcterms:modified>
</cp:coreProperties>
</file>